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63" w:rsidRDefault="00236463" w:rsidP="00236463">
      <w:pPr>
        <w:spacing w:after="24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6"/>
        <w:gridCol w:w="2891"/>
      </w:tblGrid>
      <w:tr w:rsidR="00236463" w:rsidTr="00C53CA3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236463" w:rsidRDefault="00236463" w:rsidP="0023646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color w:val="FFFFFF"/>
                <w:sz w:val="27"/>
                <w:szCs w:val="27"/>
              </w:rPr>
              <w:t xml:space="preserve">PARACETAMOL </w:t>
            </w:r>
          </w:p>
        </w:tc>
        <w:tc>
          <w:tcPr>
            <w:tcW w:w="0" w:type="auto"/>
            <w:vAlign w:val="center"/>
            <w:hideMark/>
          </w:tcPr>
          <w:p w:rsidR="00236463" w:rsidRDefault="00236463" w:rsidP="0023646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990000"/>
              </w:rPr>
              <w:t>PHARMACOCINÉTIQUE</w:t>
            </w:r>
          </w:p>
        </w:tc>
      </w:tr>
    </w:tbl>
    <w:p w:rsidR="00236463" w:rsidRDefault="00236463" w:rsidP="00236463">
      <w:pPr>
        <w:pStyle w:val="ammcorpstexte"/>
      </w:pPr>
      <w:bookmarkStart w:id="0" w:name="Rcp_5_2_PropPharmacocinetique_4"/>
      <w:bookmarkEnd w:id="0"/>
      <w:r>
        <w:rPr>
          <w:b/>
          <w:bCs/>
          <w:u w:val="single"/>
        </w:rPr>
        <w:t>ADULTES</w:t>
      </w:r>
      <w:r>
        <w:rPr>
          <w:b/>
          <w:bCs/>
        </w:rPr>
        <w:t xml:space="preserve"> </w:t>
      </w:r>
    </w:p>
    <w:p w:rsidR="00236463" w:rsidRDefault="00236463" w:rsidP="00236463">
      <w:pPr>
        <w:pStyle w:val="ammcorpstexte"/>
        <w:rPr>
          <w:b/>
          <w:bCs/>
        </w:rPr>
      </w:pPr>
      <w:r>
        <w:rPr>
          <w:b/>
          <w:bCs/>
          <w:u w:val="single"/>
        </w:rPr>
        <w:t>Absorption</w:t>
      </w:r>
      <w:r>
        <w:rPr>
          <w:b/>
          <w:bCs/>
        </w:rPr>
        <w:t xml:space="preserve"> </w:t>
      </w:r>
    </w:p>
    <w:p w:rsidR="00236463" w:rsidRDefault="00236463" w:rsidP="00236463">
      <w:pPr>
        <w:pStyle w:val="ammcorpstexte"/>
      </w:pPr>
      <w:r>
        <w:t>La pharmacocinétique du paracétamol est linéaire jusqu'à 2 g en dose unique et après administration répétée sur 24 h.</w:t>
      </w:r>
    </w:p>
    <w:p w:rsidR="00236463" w:rsidRDefault="00236463" w:rsidP="00236463">
      <w:pPr>
        <w:pStyle w:val="ammcorpstexte"/>
      </w:pPr>
      <w:r>
        <w:t xml:space="preserve">La biodisponibilité du paracétamol après perfusion de 500 mg et 1 g de PARACETAMOL 10 mg/ml est similaire à celle observée après perfusion de 1 g et 2 g de </w:t>
      </w:r>
      <w:proofErr w:type="spellStart"/>
      <w:r>
        <w:t>propacétamol</w:t>
      </w:r>
      <w:proofErr w:type="spellEnd"/>
      <w:r>
        <w:t xml:space="preserve"> (contenant 500 mg et 1 g de paracétamol respectivement). </w:t>
      </w:r>
    </w:p>
    <w:p w:rsidR="00236463" w:rsidRDefault="00236463" w:rsidP="00236463">
      <w:pPr>
        <w:pStyle w:val="ammcorpstexte"/>
      </w:pPr>
      <w:r>
        <w:t>La concentration plasmatique maximale (</w:t>
      </w:r>
      <w:proofErr w:type="spellStart"/>
      <w:r>
        <w:t>C</w:t>
      </w:r>
      <w:r>
        <w:rPr>
          <w:vertAlign w:val="subscript"/>
        </w:rPr>
        <w:t>max</w:t>
      </w:r>
      <w:proofErr w:type="spellEnd"/>
      <w:r>
        <w:t xml:space="preserve">) de paracétamol observée à la fin des 15 minutes de perfusion intraveineuse de 500 mg et 1 g de PARACETAMOL 10 mg/ml est de l'ordre de 15 µg/ml et 30 µg/ml respectivement. </w:t>
      </w:r>
    </w:p>
    <w:p w:rsidR="00236463" w:rsidRDefault="00236463" w:rsidP="00236463">
      <w:pPr>
        <w:pStyle w:val="ammcorpstexte"/>
        <w:keepNext/>
        <w:spacing w:after="0" w:afterAutospacing="0"/>
        <w:rPr>
          <w:b/>
          <w:bCs/>
        </w:rPr>
      </w:pPr>
      <w:r>
        <w:rPr>
          <w:b/>
          <w:bCs/>
          <w:u w:val="single"/>
        </w:rPr>
        <w:t>Distribution</w:t>
      </w:r>
      <w:r>
        <w:rPr>
          <w:b/>
          <w:bCs/>
        </w:rPr>
        <w:t xml:space="preserve"> </w:t>
      </w:r>
    </w:p>
    <w:p w:rsidR="00236463" w:rsidRDefault="00236463" w:rsidP="00236463">
      <w:pPr>
        <w:pStyle w:val="ammlistepuces1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Le volume de distribution du paracétamol est approximativement de 1 l/kg. </w:t>
      </w:r>
    </w:p>
    <w:p w:rsidR="00236463" w:rsidRDefault="00236463" w:rsidP="00236463">
      <w:pPr>
        <w:pStyle w:val="ammlistepuces1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La liaison aux protéines plasmatiques est faible. </w:t>
      </w:r>
    </w:p>
    <w:p w:rsidR="00236463" w:rsidRDefault="00236463" w:rsidP="00236463">
      <w:pPr>
        <w:pStyle w:val="ammlistepuces1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Après perfusion de 1 g de paracétamol, des concentrations significatives de paracétamol (de l'ordre de 1,5 µg/ml) ont été retrouvées dans le liquide céphalo-rachidien dès la 20</w:t>
      </w:r>
      <w:r>
        <w:rPr>
          <w:vertAlign w:val="superscript"/>
        </w:rPr>
        <w:t>ème</w:t>
      </w:r>
      <w:r>
        <w:t xml:space="preserve"> minute après la perfusion. </w:t>
      </w:r>
    </w:p>
    <w:p w:rsidR="00236463" w:rsidRDefault="00236463" w:rsidP="00236463">
      <w:pPr>
        <w:pStyle w:val="ammcorpstexte"/>
        <w:rPr>
          <w:b/>
          <w:bCs/>
        </w:rPr>
      </w:pPr>
      <w:r>
        <w:rPr>
          <w:b/>
          <w:bCs/>
          <w:u w:val="single"/>
        </w:rPr>
        <w:t>Métabolisme</w:t>
      </w:r>
      <w:r>
        <w:rPr>
          <w:b/>
          <w:bCs/>
        </w:rPr>
        <w:t xml:space="preserve"> </w:t>
      </w:r>
    </w:p>
    <w:p w:rsidR="00236463" w:rsidRDefault="00236463" w:rsidP="00236463">
      <w:pPr>
        <w:pStyle w:val="ammcorpstexte"/>
      </w:pPr>
      <w:r>
        <w:t xml:space="preserve">Le paracétamol est métabolisé essentiellement au niveau du foie selon 2 voies hépatiques majeures: la </w:t>
      </w:r>
      <w:proofErr w:type="spellStart"/>
      <w:r>
        <w:t>glycuroconjugaison</w:t>
      </w:r>
      <w:proofErr w:type="spellEnd"/>
      <w:r>
        <w:t xml:space="preserve"> et la </w:t>
      </w:r>
      <w:proofErr w:type="spellStart"/>
      <w:r>
        <w:t>sulfoconjugaison</w:t>
      </w:r>
      <w:proofErr w:type="spellEnd"/>
      <w:r>
        <w:t>. Cette dernière voie est rapidement saturable aux posologies supérieures aux doses thérapeutiques. Une faible proportion (moins de 4 %) est transformée par le cytochrome P 450 en un intermédiaire réactif (le N-</w:t>
      </w:r>
      <w:proofErr w:type="spellStart"/>
      <w:r>
        <w:t>acétyl</w:t>
      </w:r>
      <w:proofErr w:type="spellEnd"/>
      <w:r>
        <w:t xml:space="preserve"> </w:t>
      </w:r>
      <w:proofErr w:type="spellStart"/>
      <w:r>
        <w:t>benzoquinone</w:t>
      </w:r>
      <w:proofErr w:type="spellEnd"/>
      <w:r>
        <w:t xml:space="preserve"> imine) qui, dans les conditions normales d'utilisation, est rapidement </w:t>
      </w:r>
      <w:proofErr w:type="spellStart"/>
      <w:r>
        <w:t>détoxifié</w:t>
      </w:r>
      <w:proofErr w:type="spellEnd"/>
      <w:r>
        <w:t xml:space="preserve"> par le glutathion réduit et éliminé dans les urines après conjugaison à la cystéine et à l'acide </w:t>
      </w:r>
      <w:proofErr w:type="spellStart"/>
      <w:r>
        <w:t>mercaptopurique</w:t>
      </w:r>
      <w:proofErr w:type="spellEnd"/>
      <w:r>
        <w:t xml:space="preserve">. En revanche, lors d'intoxications massives, la quantité de ce métabolite toxique est augmentée. </w:t>
      </w:r>
    </w:p>
    <w:p w:rsidR="00236463" w:rsidRDefault="00236463" w:rsidP="00236463">
      <w:pPr>
        <w:pStyle w:val="ammcorpstexte"/>
        <w:rPr>
          <w:b/>
          <w:bCs/>
        </w:rPr>
      </w:pPr>
      <w:r>
        <w:rPr>
          <w:b/>
          <w:bCs/>
          <w:u w:val="single"/>
        </w:rPr>
        <w:t>Elimination</w:t>
      </w:r>
      <w:r>
        <w:rPr>
          <w:b/>
          <w:bCs/>
        </w:rPr>
        <w:t xml:space="preserve"> </w:t>
      </w:r>
    </w:p>
    <w:p w:rsidR="00236463" w:rsidRDefault="00236463" w:rsidP="00236463">
      <w:pPr>
        <w:pStyle w:val="ammcorpstexte"/>
      </w:pPr>
      <w:r>
        <w:t xml:space="preserve">L'élimination des métabolites du paracétamol est essentiellement urinaire. 90 % de la dose administrée est excrétée dans les urines en 24 heures, principalement sous forme </w:t>
      </w:r>
      <w:proofErr w:type="spellStart"/>
      <w:r>
        <w:t>glycuroconjuguée</w:t>
      </w:r>
      <w:proofErr w:type="spellEnd"/>
      <w:r>
        <w:t xml:space="preserve"> (60 à 80 %) et </w:t>
      </w:r>
      <w:proofErr w:type="spellStart"/>
      <w:r>
        <w:t>sulfoconjuguée</w:t>
      </w:r>
      <w:proofErr w:type="spellEnd"/>
      <w:r>
        <w:t xml:space="preserve"> (20 à 30 %). </w:t>
      </w:r>
    </w:p>
    <w:p w:rsidR="00236463" w:rsidRDefault="00236463" w:rsidP="00236463">
      <w:pPr>
        <w:pStyle w:val="ammcorpstexte"/>
      </w:pPr>
      <w:r>
        <w:t>Moins de 5 % est éliminé sous forme inchangée.</w:t>
      </w:r>
    </w:p>
    <w:p w:rsidR="00236463" w:rsidRDefault="00236463" w:rsidP="00236463">
      <w:pPr>
        <w:pStyle w:val="ammcorpstexte"/>
      </w:pPr>
      <w:r>
        <w:lastRenderedPageBreak/>
        <w:t>La demi-vie plasmatique est de 2,7 heures et la clairance corporelle totale est d'environ 18 l/h.</w:t>
      </w:r>
    </w:p>
    <w:p w:rsidR="00236463" w:rsidRDefault="00236463" w:rsidP="00236463">
      <w:pPr>
        <w:pStyle w:val="ammcorpstexte"/>
        <w:rPr>
          <w:b/>
          <w:bCs/>
        </w:rPr>
      </w:pPr>
      <w:r>
        <w:rPr>
          <w:b/>
          <w:bCs/>
          <w:u w:val="single"/>
        </w:rPr>
        <w:t>NOUVEAU-NES, NOURRISSONS ET ENFANTS</w:t>
      </w:r>
      <w:r>
        <w:rPr>
          <w:b/>
          <w:bCs/>
        </w:rPr>
        <w:t xml:space="preserve"> </w:t>
      </w:r>
    </w:p>
    <w:p w:rsidR="00236463" w:rsidRDefault="00236463" w:rsidP="00236463">
      <w:pPr>
        <w:pStyle w:val="ammcorpstexte"/>
      </w:pPr>
      <w:r>
        <w:t xml:space="preserve">Les paramètres pharmacocinétiques du paracétamol observés chez le nourrisson et l'enfant sont similaires à ceux obtenus chez l'adulte, à l'exception de la demi-vie plasmatique qui est légèrement plus courte (1,5 à 2 heures). Chez le nouveau-né, la demi-vie plasmatique est plus longue que chez le nourrisson, à savoir environ 3,5 heures. Le nouveau-né, le nourrisson et l'enfant jusqu'à 10 ans éliminent significativement moins de dérivés </w:t>
      </w:r>
      <w:proofErr w:type="spellStart"/>
      <w:r>
        <w:t>glycuroconjugués</w:t>
      </w:r>
      <w:proofErr w:type="spellEnd"/>
      <w:r>
        <w:t xml:space="preserve"> et plus de dérivés </w:t>
      </w:r>
      <w:proofErr w:type="spellStart"/>
      <w:r>
        <w:t>sulfoconjugués</w:t>
      </w:r>
      <w:proofErr w:type="spellEnd"/>
      <w:r>
        <w:t xml:space="preserve"> que l'adulte. </w:t>
      </w:r>
    </w:p>
    <w:p w:rsidR="00236463" w:rsidRDefault="00236463" w:rsidP="00236463">
      <w:pPr>
        <w:pStyle w:val="ammcorpstexte"/>
        <w:rPr>
          <w:b/>
          <w:bCs/>
        </w:rPr>
      </w:pPr>
      <w:r>
        <w:rPr>
          <w:b/>
          <w:bCs/>
        </w:rPr>
        <w:t>Tableau: les valeurs pharmacocinétiques en fonction de l'âge (clairance standardisée*</w:t>
      </w:r>
      <w:proofErr w:type="spellStart"/>
      <w:r>
        <w:rPr>
          <w:b/>
          <w:bCs/>
        </w:rPr>
        <w:t>CL</w:t>
      </w:r>
      <w:r>
        <w:rPr>
          <w:b/>
          <w:bCs/>
          <w:vertAlign w:val="subscript"/>
        </w:rPr>
        <w:t>std</w:t>
      </w:r>
      <w:proofErr w:type="spellEnd"/>
      <w:r>
        <w:rPr>
          <w:b/>
          <w:bCs/>
        </w:rPr>
        <w:t>/F</w:t>
      </w:r>
      <w:r>
        <w:rPr>
          <w:b/>
          <w:bCs/>
          <w:vertAlign w:val="subscript"/>
        </w:rPr>
        <w:t>orale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l.h</w:t>
      </w:r>
      <w:proofErr w:type="spellEnd"/>
      <w:r>
        <w:rPr>
          <w:b/>
          <w:bCs/>
          <w:vertAlign w:val="superscript"/>
        </w:rPr>
        <w:t>-1</w:t>
      </w:r>
      <w:r>
        <w:rPr>
          <w:b/>
          <w:bCs/>
        </w:rPr>
        <w:t xml:space="preserve"> 70 kg</w:t>
      </w:r>
      <w:r>
        <w:rPr>
          <w:b/>
          <w:bCs/>
          <w:vertAlign w:val="superscript"/>
        </w:rPr>
        <w:t>-1</w:t>
      </w:r>
      <w:r>
        <w:rPr>
          <w:b/>
          <w:bCs/>
        </w:rPr>
        <w:t xml:space="preserve">) sont présentées ci-dessous. 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3048"/>
        <w:gridCol w:w="2922"/>
        <w:gridCol w:w="3086"/>
        <w:gridCol w:w="16"/>
      </w:tblGrid>
      <w:tr w:rsidR="00236463" w:rsidTr="00C53CA3">
        <w:trPr>
          <w:trHeight w:val="240"/>
          <w:tblHeader/>
        </w:trPr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tableautitre1"/>
              <w:spacing w:before="0" w:beforeAutospacing="0" w:after="0" w:afterAutospacing="0"/>
              <w:jc w:val="center"/>
            </w:pPr>
            <w:r>
              <w:t>Age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tableautitre1"/>
              <w:spacing w:before="0" w:beforeAutospacing="0" w:after="0" w:afterAutospacing="0"/>
              <w:jc w:val="center"/>
            </w:pPr>
            <w:r>
              <w:t>Poids (kg)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tableautitre1"/>
              <w:spacing w:before="0" w:beforeAutospacing="0" w:after="0" w:afterAutospacing="0"/>
              <w:jc w:val="center"/>
            </w:pPr>
            <w:proofErr w:type="spellStart"/>
            <w:r>
              <w:t>CL</w:t>
            </w:r>
            <w:r>
              <w:rPr>
                <w:vertAlign w:val="subscript"/>
              </w:rPr>
              <w:t>std</w:t>
            </w:r>
            <w:proofErr w:type="spellEnd"/>
            <w:r>
              <w:t>/F</w:t>
            </w:r>
            <w:r>
              <w:rPr>
                <w:vertAlign w:val="subscript"/>
              </w:rPr>
              <w:t>orale</w:t>
            </w:r>
            <w:r>
              <w:t xml:space="preserve"> (</w:t>
            </w:r>
            <w:proofErr w:type="spellStart"/>
            <w:r>
              <w:t>l.h</w:t>
            </w:r>
            <w:proofErr w:type="spellEnd"/>
            <w:r>
              <w:rPr>
                <w:vertAlign w:val="superscript"/>
              </w:rPr>
              <w:t>-1</w:t>
            </w:r>
            <w:r>
              <w:t xml:space="preserve"> 70 kg</w:t>
            </w:r>
            <w:r>
              <w:rPr>
                <w:vertAlign w:val="superscript"/>
              </w:rPr>
              <w:t>-1</w:t>
            </w:r>
            <w:r>
              <w:t xml:space="preserve">)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463" w:rsidRDefault="00236463" w:rsidP="00C53CA3">
            <w:pPr>
              <w:rPr>
                <w:sz w:val="24"/>
                <w:szCs w:val="24"/>
              </w:rPr>
            </w:pPr>
          </w:p>
        </w:tc>
      </w:tr>
      <w:tr w:rsidR="00236463" w:rsidTr="00C53CA3">
        <w:trPr>
          <w:trHeight w:val="240"/>
          <w:tblHeader/>
        </w:trPr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</w:pPr>
            <w:r>
              <w:t>40 semaines d'aménorrhée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3,3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5,9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463" w:rsidRDefault="00236463" w:rsidP="00C53CA3">
            <w:pPr>
              <w:rPr>
                <w:sz w:val="24"/>
                <w:szCs w:val="24"/>
              </w:rPr>
            </w:pPr>
          </w:p>
        </w:tc>
      </w:tr>
      <w:tr w:rsidR="00236463" w:rsidTr="00C53CA3">
        <w:trPr>
          <w:trHeight w:val="240"/>
          <w:tblHeader/>
        </w:trPr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</w:pPr>
            <w:r>
              <w:t>3 mois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8,8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463" w:rsidRDefault="00236463" w:rsidP="00C53CA3">
            <w:pPr>
              <w:rPr>
                <w:sz w:val="24"/>
                <w:szCs w:val="24"/>
              </w:rPr>
            </w:pPr>
          </w:p>
        </w:tc>
      </w:tr>
      <w:tr w:rsidR="00236463" w:rsidTr="00C53CA3">
        <w:trPr>
          <w:trHeight w:val="240"/>
          <w:tblHeader/>
        </w:trPr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</w:pPr>
            <w:r>
              <w:t>6 mois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7,5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11,1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463" w:rsidRDefault="00236463" w:rsidP="00C53CA3">
            <w:pPr>
              <w:rPr>
                <w:sz w:val="24"/>
                <w:szCs w:val="24"/>
              </w:rPr>
            </w:pPr>
          </w:p>
        </w:tc>
      </w:tr>
      <w:tr w:rsidR="00236463" w:rsidTr="00C53CA3">
        <w:trPr>
          <w:trHeight w:val="240"/>
          <w:tblHeader/>
        </w:trPr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</w:pPr>
            <w:r>
              <w:t>1 an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13,6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463" w:rsidRDefault="00236463" w:rsidP="00C53CA3">
            <w:pPr>
              <w:rPr>
                <w:sz w:val="24"/>
                <w:szCs w:val="24"/>
              </w:rPr>
            </w:pPr>
          </w:p>
        </w:tc>
      </w:tr>
      <w:tr w:rsidR="00236463" w:rsidTr="00C53CA3">
        <w:trPr>
          <w:trHeight w:val="240"/>
          <w:tblHeader/>
        </w:trPr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</w:pPr>
            <w:r>
              <w:t>2 ans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15,6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463" w:rsidRDefault="00236463" w:rsidP="00C53CA3">
            <w:pPr>
              <w:rPr>
                <w:sz w:val="24"/>
                <w:szCs w:val="24"/>
              </w:rPr>
            </w:pPr>
          </w:p>
        </w:tc>
      </w:tr>
      <w:tr w:rsidR="00236463" w:rsidTr="00C53CA3">
        <w:trPr>
          <w:trHeight w:val="240"/>
          <w:tblHeader/>
        </w:trPr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</w:pPr>
            <w:r>
              <w:t>5 ans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20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16,3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463" w:rsidRDefault="00236463" w:rsidP="00C53CA3">
            <w:pPr>
              <w:rPr>
                <w:sz w:val="24"/>
                <w:szCs w:val="24"/>
              </w:rPr>
            </w:pPr>
          </w:p>
        </w:tc>
      </w:tr>
      <w:tr w:rsidR="00236463" w:rsidTr="00C53CA3">
        <w:trPr>
          <w:trHeight w:val="240"/>
          <w:tblHeader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</w:pPr>
            <w:r>
              <w:t>8 ans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25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463" w:rsidRDefault="00236463" w:rsidP="00C53CA3">
            <w:pPr>
              <w:pStyle w:val="ammcorpstexte"/>
              <w:spacing w:after="0" w:afterAutospacing="0"/>
              <w:jc w:val="center"/>
            </w:pPr>
            <w:r>
              <w:t>16,3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463" w:rsidRDefault="00236463" w:rsidP="00C53CA3">
            <w:pPr>
              <w:rPr>
                <w:sz w:val="24"/>
                <w:szCs w:val="24"/>
              </w:rPr>
            </w:pPr>
          </w:p>
        </w:tc>
      </w:tr>
    </w:tbl>
    <w:p w:rsidR="00236463" w:rsidRDefault="00236463" w:rsidP="00236463">
      <w:pPr>
        <w:pStyle w:val="ammcorpstexte"/>
      </w:pPr>
      <w:r>
        <w:t>*</w:t>
      </w:r>
      <w:proofErr w:type="spellStart"/>
      <w:r>
        <w:t>CL</w:t>
      </w:r>
      <w:r>
        <w:rPr>
          <w:vertAlign w:val="subscript"/>
        </w:rPr>
        <w:t>std</w:t>
      </w:r>
      <w:proofErr w:type="spellEnd"/>
      <w:r>
        <w:t xml:space="preserve"> est l'estimation de la CL pour la population. </w:t>
      </w:r>
    </w:p>
    <w:p w:rsidR="00236463" w:rsidRDefault="00236463" w:rsidP="00236463">
      <w:pPr>
        <w:pStyle w:val="ammcorpstexte"/>
        <w:rPr>
          <w:b/>
          <w:bCs/>
        </w:rPr>
      </w:pPr>
      <w:r>
        <w:rPr>
          <w:b/>
          <w:bCs/>
          <w:u w:val="single"/>
        </w:rPr>
        <w:t>POPULATIONS PARTICULIERES</w:t>
      </w:r>
      <w:r>
        <w:rPr>
          <w:b/>
          <w:bCs/>
        </w:rPr>
        <w:t xml:space="preserve"> </w:t>
      </w:r>
    </w:p>
    <w:p w:rsidR="00236463" w:rsidRDefault="00236463" w:rsidP="00236463">
      <w:pPr>
        <w:pStyle w:val="ammcorpstexte"/>
        <w:rPr>
          <w:i/>
          <w:iCs/>
        </w:rPr>
      </w:pPr>
      <w:r>
        <w:rPr>
          <w:i/>
          <w:iCs/>
          <w:u w:val="single"/>
        </w:rPr>
        <w:t>Insuffisant rénal</w:t>
      </w:r>
      <w:r>
        <w:rPr>
          <w:i/>
          <w:iCs/>
        </w:rPr>
        <w:t xml:space="preserve"> </w:t>
      </w:r>
    </w:p>
    <w:p w:rsidR="00236463" w:rsidRDefault="00236463" w:rsidP="00236463">
      <w:pPr>
        <w:pStyle w:val="ammcorpstexte"/>
      </w:pPr>
      <w:r>
        <w:t xml:space="preserve">En cas d'insuffisance rénale sévère (clairance de la créatinine 10-30 ml/min), l'élimination du paracétamol est légèrement retardée, la demi-vie d'élimination variant de 2 à 5,3 h. La vitesse d'élimination des dérivés </w:t>
      </w:r>
      <w:proofErr w:type="spellStart"/>
      <w:r>
        <w:t>glycuro</w:t>
      </w:r>
      <w:proofErr w:type="spellEnd"/>
      <w:r>
        <w:t xml:space="preserve"> et </w:t>
      </w:r>
      <w:proofErr w:type="spellStart"/>
      <w:r>
        <w:t>sulfoconjugués</w:t>
      </w:r>
      <w:proofErr w:type="spellEnd"/>
      <w:r>
        <w:t xml:space="preserve"> est 3 fois plus lente chez l'insuffisant rénal sévère que chez le sujet sain. </w:t>
      </w:r>
    </w:p>
    <w:p w:rsidR="00236463" w:rsidRDefault="00236463" w:rsidP="00236463">
      <w:pPr>
        <w:pStyle w:val="ammcorpstexte"/>
      </w:pPr>
      <w:r>
        <w:t>En conséquence, il est recommandé de respecter un intervalle d'au moins 6 heures entre deux administrations chez l'insuffisant rénal sévère (clairance de la créatinine ≤ 30 ml/min) (</w:t>
      </w:r>
      <w:hyperlink r:id="rId4" w:anchor="Rcp_4_2_PosoAdmin_1" w:history="1">
        <w:r>
          <w:rPr>
            <w:rStyle w:val="Lienhypertexte"/>
          </w:rPr>
          <w:t xml:space="preserve"> </w:t>
        </w:r>
        <w:r>
          <w:rPr>
            <w:rStyle w:val="Numrodepage"/>
            <w:rFonts w:ascii="Arial" w:hAnsi="Arial" w:cs="Arial"/>
            <w:color w:val="0000FF"/>
            <w:u w:val="single"/>
          </w:rPr>
          <w:t xml:space="preserve">voir rubrique Posologie et mode </w:t>
        </w:r>
        <w:proofErr w:type="gramStart"/>
        <w:r>
          <w:rPr>
            <w:rStyle w:val="Numrodepage"/>
            <w:rFonts w:ascii="Arial" w:hAnsi="Arial" w:cs="Arial"/>
            <w:color w:val="0000FF"/>
            <w:u w:val="single"/>
          </w:rPr>
          <w:t>d'administration</w:t>
        </w:r>
        <w:r>
          <w:rPr>
            <w:rStyle w:val="Numrodepage"/>
            <w:color w:val="0000FF"/>
            <w:u w:val="single"/>
          </w:rPr>
          <w:t xml:space="preserve"> </w:t>
        </w:r>
        <w:proofErr w:type="gramEnd"/>
      </w:hyperlink>
      <w:r>
        <w:t xml:space="preserve">). </w:t>
      </w:r>
    </w:p>
    <w:p w:rsidR="00236463" w:rsidRDefault="00236463" w:rsidP="00236463">
      <w:pPr>
        <w:pStyle w:val="ammcorpstexte"/>
      </w:pPr>
      <w:r>
        <w:rPr>
          <w:u w:val="single"/>
        </w:rPr>
        <w:t>Sujet âgé</w:t>
      </w:r>
      <w:r>
        <w:t xml:space="preserve"> </w:t>
      </w:r>
    </w:p>
    <w:p w:rsidR="00236463" w:rsidRDefault="00236463" w:rsidP="00236463">
      <w:pPr>
        <w:pStyle w:val="ammcorpstexte"/>
      </w:pPr>
      <w:r>
        <w:t xml:space="preserve">La pharmacocinétique et le métabolisme du paracétamol ne sont pas modifiés chez le sujet âgé. Aucun ajustement de dose n'est requis dans cette population.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6463"/>
    <w:rsid w:val="00017B31"/>
    <w:rsid w:val="0006330F"/>
    <w:rsid w:val="0009769E"/>
    <w:rsid w:val="000C4178"/>
    <w:rsid w:val="00120A2B"/>
    <w:rsid w:val="001931B1"/>
    <w:rsid w:val="001A53D5"/>
    <w:rsid w:val="001B3E26"/>
    <w:rsid w:val="00236463"/>
    <w:rsid w:val="00282113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17E8A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36463"/>
    <w:rPr>
      <w:color w:val="990000"/>
      <w:u w:val="single"/>
    </w:rPr>
  </w:style>
  <w:style w:type="paragraph" w:customStyle="1" w:styleId="ammcorpstexte">
    <w:name w:val="ammcorpstexte"/>
    <w:basedOn w:val="Normal"/>
    <w:rsid w:val="002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ammlistepuces1">
    <w:name w:val="ammlistepuces1"/>
    <w:basedOn w:val="Normal"/>
    <w:rsid w:val="002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36463"/>
  </w:style>
  <w:style w:type="paragraph" w:customStyle="1" w:styleId="ammtableautitre1">
    <w:name w:val="ammtableautitre1"/>
    <w:basedOn w:val="Normal"/>
    <w:rsid w:val="002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Program%20Files\Vidal%20Expert\data\mono\com\vidal\data\mono\R0216186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2013-02-18T16:14:00Z</dcterms:created>
  <dcterms:modified xsi:type="dcterms:W3CDTF">2013-02-18T16:15:00Z</dcterms:modified>
</cp:coreProperties>
</file>